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bl>
                            <w:p w14:paraId="2AFF2D28" w14:textId="17D6180C" w:rsidR="003047D5" w:rsidRPr="003047D5" w:rsidRDefault="00C3430D">
                              <w:pPr>
                                <w:jc w:val="center"/>
                                <w:rPr>
                                  <w:rFonts w:ascii="Times New Roman" w:eastAsia="Times New Roman" w:hAnsi="Times New Roman" w:cs="Times New Roman"/>
                                  <w:b/>
                                  <w:bCs/>
                                  <w:color w:val="000000"/>
                                  <w:sz w:val="52"/>
                                  <w:szCs w:val="52"/>
                                </w:rPr>
                              </w:pPr>
                              <w:r w:rsidRPr="00C3430D">
                                <w:rPr>
                                  <w:rFonts w:ascii="Times New Roman" w:eastAsia="Times New Roman" w:hAnsi="Times New Roman" w:cs="Times New Roman"/>
                                  <w:b/>
                                  <w:bCs/>
                                  <w:color w:val="000000"/>
                                  <w:sz w:val="52"/>
                                  <w:szCs w:val="52"/>
                                </w:rPr>
                                <w:t>Business Continuation Planning</w:t>
                              </w:r>
                            </w:p>
                            <w:p w14:paraId="3A7408E4" w14:textId="77777777" w:rsidR="00A263DA" w:rsidRDefault="00A263DA"/>
                            <w:tbl>
                              <w:tblPr>
                                <w:tblW w:w="5000" w:type="pct"/>
                                <w:tblCellMar>
                                  <w:left w:w="0" w:type="dxa"/>
                                  <w:right w:w="0" w:type="dxa"/>
                                </w:tblCellMar>
                                <w:tblLook w:val="04A0" w:firstRow="1" w:lastRow="0" w:firstColumn="1" w:lastColumn="0" w:noHBand="0" w:noVBand="1"/>
                              </w:tblPr>
                              <w:tblGrid>
                                <w:gridCol w:w="8520"/>
                              </w:tblGrid>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747"/>
                                    </w:tblGrid>
                                    <w:tr w:rsidR="00A263DA" w14:paraId="7C4E13D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1085E926" w14:textId="12F0A614" w:rsidR="00A263DA" w:rsidRDefault="00C3430D">
                                          <w:r>
                                            <w:rPr>
                                              <w:rFonts w:ascii="inherit" w:hAnsi="inherit"/>
                                              <w:noProof/>
                                              <w:sz w:val="21"/>
                                              <w:szCs w:val="21"/>
                                            </w:rPr>
                                            <w:drawing>
                                              <wp:inline distT="0" distB="0" distL="0" distR="0" wp14:anchorId="69E2BD97" wp14:editId="68BAC322">
                                                <wp:extent cx="1716066" cy="17160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26890" cy="1726890"/>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546ADEFD" w14:textId="77777777" w:rsidR="00C3430D" w:rsidRDefault="00C3430D">
                                    <w:pPr>
                                      <w:pStyle w:val="NormalWeb"/>
                                      <w:spacing w:before="0" w:beforeAutospacing="0" w:after="0" w:afterAutospacing="0"/>
                                      <w:jc w:val="center"/>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You've invested a lot in your business-a lot of time and money, as well as a lot of yourself. Have you thought about what will happen to it when you're no longer at the helm?</w:t>
                                    </w:r>
                                  </w:p>
                                  <w:p w14:paraId="595465A4" w14:textId="77777777" w:rsidR="00C3430D" w:rsidRDefault="00C3430D">
                                    <w:pPr>
                                      <w:pStyle w:val="NormalWeb"/>
                                      <w:spacing w:before="0" w:beforeAutospacing="0" w:after="0" w:afterAutospacing="0"/>
                                      <w:jc w:val="center"/>
                                      <w:rPr>
                                        <w:rStyle w:val="Strong"/>
                                        <w:rFonts w:ascii="inherit" w:hAnsi="inherit"/>
                                        <w:i/>
                                        <w:iCs/>
                                        <w:color w:val="198FC8"/>
                                        <w:sz w:val="21"/>
                                        <w:szCs w:val="21"/>
                                        <w:bdr w:val="none" w:sz="0" w:space="0" w:color="auto" w:frame="1"/>
                                      </w:rPr>
                                    </w:pPr>
                                  </w:p>
                                  <w:p w14:paraId="56E23090" w14:textId="6B3BF1B1" w:rsidR="00C3430D" w:rsidRPr="00C3430D" w:rsidRDefault="00C3430D" w:rsidP="00C3430D">
                                    <w:pPr>
                                      <w:pStyle w:val="Heading3"/>
                                      <w:spacing w:before="0"/>
                                      <w:jc w:val="center"/>
                                      <w:textAlignment w:val="baseline"/>
                                      <w:rPr>
                                        <w:rStyle w:val="Strong"/>
                                        <w:rFonts w:ascii="Arial" w:eastAsia="Times New Roman" w:hAnsi="Arial" w:cs="Arial"/>
                                        <w:b w:val="0"/>
                                        <w:bCs w:val="0"/>
                                        <w:color w:val="198FC8"/>
                                        <w:sz w:val="48"/>
                                        <w:szCs w:val="48"/>
                                      </w:rPr>
                                    </w:pPr>
                                    <w:r w:rsidRPr="00C3430D">
                                      <w:rPr>
                                        <w:rFonts w:ascii="Arial" w:eastAsia="Times New Roman" w:hAnsi="Arial" w:cs="Arial"/>
                                        <w:b/>
                                        <w:bCs/>
                                        <w:color w:val="198FC8"/>
                                        <w:sz w:val="48"/>
                                        <w:szCs w:val="48"/>
                                      </w:rPr>
                                      <w:t>Attend the Business Continuation Planning seminar, and you'll learn:</w:t>
                                    </w:r>
                                  </w:p>
                                  <w:p w14:paraId="06D64BCA" w14:textId="77777777" w:rsidR="00A263DA" w:rsidRDefault="00A263DA">
                                    <w:pPr>
                                      <w:pStyle w:val="NormalWeb"/>
                                      <w:spacing w:before="0" w:beforeAutospacing="0" w:after="0" w:afterAutospacing="0"/>
                                      <w:jc w:val="center"/>
                                      <w:rPr>
                                        <w:sz w:val="20"/>
                                        <w:szCs w:val="20"/>
                                      </w:rPr>
                                    </w:pPr>
                                  </w:p>
                                  <w:p w14:paraId="20EEDC80" w14:textId="77777777" w:rsidR="00C3430D" w:rsidRDefault="00C3430D" w:rsidP="00C3430D">
                                    <w:pPr>
                                      <w:numPr>
                                        <w:ilvl w:val="0"/>
                                        <w:numId w:val="3"/>
                                      </w:numPr>
                                      <w:ind w:left="360"/>
                                      <w:textAlignment w:val="baseline"/>
                                      <w:rPr>
                                        <w:rFonts w:ascii="inherit" w:hAnsi="inherit"/>
                                        <w:color w:val="000000"/>
                                        <w:sz w:val="21"/>
                                        <w:szCs w:val="21"/>
                                      </w:rPr>
                                    </w:pPr>
                                    <w:r>
                                      <w:rPr>
                                        <w:rFonts w:ascii="inherit" w:hAnsi="inherit"/>
                                        <w:color w:val="000000"/>
                                        <w:sz w:val="21"/>
                                        <w:szCs w:val="21"/>
                                      </w:rPr>
                                      <w:t>The three elements of business continuation planning</w:t>
                                    </w:r>
                                  </w:p>
                                  <w:p w14:paraId="068DCD9B" w14:textId="77777777" w:rsidR="00C3430D" w:rsidRDefault="00C3430D" w:rsidP="00C3430D">
                                    <w:pPr>
                                      <w:numPr>
                                        <w:ilvl w:val="0"/>
                                        <w:numId w:val="3"/>
                                      </w:numPr>
                                      <w:ind w:left="360"/>
                                      <w:textAlignment w:val="baseline"/>
                                      <w:rPr>
                                        <w:rFonts w:ascii="inherit" w:hAnsi="inherit"/>
                                        <w:color w:val="000000"/>
                                        <w:sz w:val="21"/>
                                        <w:szCs w:val="21"/>
                                      </w:rPr>
                                    </w:pPr>
                                    <w:r>
                                      <w:rPr>
                                        <w:rFonts w:ascii="inherit" w:hAnsi="inherit"/>
                                        <w:color w:val="000000"/>
                                        <w:sz w:val="21"/>
                                        <w:szCs w:val="21"/>
                                      </w:rPr>
                                      <w:t>The different approaches for valuing your business</w:t>
                                    </w:r>
                                  </w:p>
                                  <w:p w14:paraId="09156224" w14:textId="77777777" w:rsidR="00C3430D" w:rsidRDefault="00C3430D" w:rsidP="00C3430D">
                                    <w:pPr>
                                      <w:numPr>
                                        <w:ilvl w:val="0"/>
                                        <w:numId w:val="3"/>
                                      </w:numPr>
                                      <w:ind w:left="360"/>
                                      <w:textAlignment w:val="baseline"/>
                                      <w:rPr>
                                        <w:rFonts w:ascii="inherit" w:hAnsi="inherit"/>
                                        <w:color w:val="000000"/>
                                        <w:sz w:val="21"/>
                                        <w:szCs w:val="21"/>
                                      </w:rPr>
                                    </w:pPr>
                                    <w:r>
                                      <w:rPr>
                                        <w:rFonts w:ascii="inherit" w:hAnsi="inherit"/>
                                        <w:color w:val="000000"/>
                                        <w:sz w:val="21"/>
                                        <w:szCs w:val="21"/>
                                      </w:rPr>
                                      <w:t>Considerations for succession planning</w:t>
                                    </w:r>
                                  </w:p>
                                  <w:p w14:paraId="1462C6B6" w14:textId="77777777" w:rsidR="00C3430D" w:rsidRDefault="00C3430D" w:rsidP="00C3430D">
                                    <w:pPr>
                                      <w:numPr>
                                        <w:ilvl w:val="0"/>
                                        <w:numId w:val="3"/>
                                      </w:numPr>
                                      <w:ind w:left="360"/>
                                      <w:textAlignment w:val="baseline"/>
                                      <w:rPr>
                                        <w:rFonts w:ascii="inherit" w:hAnsi="inherit"/>
                                        <w:color w:val="000000"/>
                                        <w:sz w:val="21"/>
                                        <w:szCs w:val="21"/>
                                      </w:rPr>
                                    </w:pPr>
                                    <w:r>
                                      <w:rPr>
                                        <w:rFonts w:ascii="inherit" w:hAnsi="inherit"/>
                                        <w:color w:val="000000"/>
                                        <w:sz w:val="21"/>
                                        <w:szCs w:val="21"/>
                                      </w:rPr>
                                      <w:t>The basics of a buy-sell agreement</w:t>
                                    </w:r>
                                  </w:p>
                                  <w:p w14:paraId="6D716951" w14:textId="77777777"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lastRenderedPageBreak/>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1314D8F5"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bookmarkStart w:id="1" w:name="_GoBack"/>
                                    <w:bookmarkEnd w:id="1"/>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BAE"/>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2C03CF"/>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3047D5"/>
    <w:rsid w:val="00A263DA"/>
    <w:rsid w:val="00B064C8"/>
    <w:rsid w:val="00C3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3430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semiHidden/>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character" w:customStyle="1" w:styleId="Heading3Char">
    <w:name w:val="Heading 3 Char"/>
    <w:basedOn w:val="DefaultParagraphFont"/>
    <w:link w:val="Heading3"/>
    <w:uiPriority w:val="9"/>
    <w:rsid w:val="00C3430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289362127">
      <w:bodyDiv w:val="1"/>
      <w:marLeft w:val="0"/>
      <w:marRight w:val="0"/>
      <w:marTop w:val="0"/>
      <w:marBottom w:val="0"/>
      <w:divBdr>
        <w:top w:val="none" w:sz="0" w:space="0" w:color="auto"/>
        <w:left w:val="none" w:sz="0" w:space="0" w:color="auto"/>
        <w:bottom w:val="none" w:sz="0" w:space="0" w:color="auto"/>
        <w:right w:val="none" w:sz="0" w:space="0" w:color="auto"/>
      </w:divBdr>
    </w:div>
    <w:div w:id="841823640">
      <w:bodyDiv w:val="1"/>
      <w:marLeft w:val="0"/>
      <w:marRight w:val="0"/>
      <w:marTop w:val="0"/>
      <w:marBottom w:val="0"/>
      <w:divBdr>
        <w:top w:val="none" w:sz="0" w:space="0" w:color="auto"/>
        <w:left w:val="none" w:sz="0" w:space="0" w:color="auto"/>
        <w:bottom w:val="none" w:sz="0" w:space="0" w:color="auto"/>
        <w:right w:val="none" w:sz="0" w:space="0" w:color="auto"/>
      </w:divBdr>
    </w:div>
    <w:div w:id="1299260288">
      <w:bodyDiv w:val="1"/>
      <w:marLeft w:val="0"/>
      <w:marRight w:val="0"/>
      <w:marTop w:val="0"/>
      <w:marBottom w:val="0"/>
      <w:divBdr>
        <w:top w:val="none" w:sz="0" w:space="0" w:color="auto"/>
        <w:left w:val="none" w:sz="0" w:space="0" w:color="auto"/>
        <w:bottom w:val="none" w:sz="0" w:space="0" w:color="auto"/>
        <w:right w:val="none" w:sz="0" w:space="0" w:color="auto"/>
      </w:divBdr>
    </w:div>
    <w:div w:id="19900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15.D08946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2020-03-05T14:09:00Z</dcterms:created>
  <dcterms:modified xsi:type="dcterms:W3CDTF">2020-03-05T14:09:00Z</dcterms:modified>
</cp:coreProperties>
</file>