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7F8383B9" w14:textId="77777777" w:rsidR="00CB50C8" w:rsidRPr="00CB50C8" w:rsidRDefault="00CB50C8" w:rsidP="00CB50C8">
                              <w:pPr>
                                <w:pStyle w:val="Heading1"/>
                                <w:spacing w:before="0" w:after="150"/>
                                <w:jc w:val="center"/>
                                <w:textAlignment w:val="baseline"/>
                                <w:rPr>
                                  <w:rFonts w:ascii="Times New Roman" w:eastAsia="Times New Roman" w:hAnsi="Times New Roman" w:cs="Times New Roman"/>
                                  <w:color w:val="000000"/>
                                  <w:sz w:val="52"/>
                                  <w:szCs w:val="52"/>
                                </w:rPr>
                              </w:pPr>
                              <w:r w:rsidRPr="00CB50C8">
                                <w:rPr>
                                  <w:rFonts w:ascii="Times New Roman" w:eastAsia="Times New Roman" w:hAnsi="Times New Roman" w:cs="Times New Roman"/>
                                  <w:b/>
                                  <w:bCs/>
                                  <w:color w:val="000000"/>
                                  <w:sz w:val="52"/>
                                  <w:szCs w:val="52"/>
                                </w:rPr>
                                <w:t>Are Your Investments on Track?</w:t>
                              </w:r>
                            </w:p>
                            <w:p w14:paraId="3A7408E4" w14:textId="77777777" w:rsidR="00A263DA" w:rsidRDefault="00A263DA"/>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570"/>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378FC614" w:rsidR="00A263DA" w:rsidRDefault="00CB50C8">
                                          <w:r>
                                            <w:rPr>
                                              <w:rFonts w:ascii="inherit" w:hAnsi="inherit"/>
                                              <w:noProof/>
                                              <w:sz w:val="21"/>
                                              <w:szCs w:val="21"/>
                                            </w:rPr>
                                            <w:drawing>
                                              <wp:inline distT="0" distB="0" distL="0" distR="0" wp14:anchorId="41760DCD" wp14:editId="37F11A6E">
                                                <wp:extent cx="1603375"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3375"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5ADA6EB5" w14:textId="760E9144" w:rsidR="00CB50C8" w:rsidRDefault="00CB50C8" w:rsidP="00CB50C8">
                                    <w:pPr>
                                      <w:ind w:left="-54"/>
                                      <w:jc w:val="center"/>
                                      <w:textAlignment w:val="baseline"/>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The best investing strategy is a carefully planned and prepared approach to managing and accumulating money. A well-planned strategy can help you meet your short-term, mid-term, and long-term financial goals. Investment planning requires discipline and patience. But it doesn’t have to be difficult.</w:t>
                                    </w:r>
                                  </w:p>
                                  <w:p w14:paraId="27E7DA3C" w14:textId="77777777" w:rsidR="00CB50C8" w:rsidRDefault="00CB50C8" w:rsidP="00CB50C8">
                                    <w:pPr>
                                      <w:ind w:left="-54"/>
                                      <w:jc w:val="center"/>
                                      <w:textAlignment w:val="baseline"/>
                                      <w:rPr>
                                        <w:rFonts w:ascii="inherit" w:hAnsi="inherit"/>
                                        <w:b/>
                                        <w:bCs/>
                                        <w:i/>
                                        <w:iCs/>
                                        <w:color w:val="198FC8"/>
                                        <w:sz w:val="21"/>
                                        <w:szCs w:val="21"/>
                                        <w:bdr w:val="none" w:sz="0" w:space="0" w:color="auto" w:frame="1"/>
                                      </w:rPr>
                                    </w:pPr>
                                  </w:p>
                                  <w:p w14:paraId="14B280A2" w14:textId="658C7700" w:rsidR="00CB50C8" w:rsidRPr="00CB50C8" w:rsidRDefault="00CB50C8" w:rsidP="00CB50C8">
                                    <w:pPr>
                                      <w:jc w:val="center"/>
                                      <w:textAlignment w:val="baseline"/>
                                      <w:rPr>
                                        <w:rFonts w:ascii="inherit" w:hAnsi="inherit"/>
                                        <w:b/>
                                        <w:bCs/>
                                        <w:i/>
                                        <w:iCs/>
                                        <w:color w:val="198FC8"/>
                                        <w:sz w:val="20"/>
                                        <w:szCs w:val="20"/>
                                      </w:rPr>
                                    </w:pPr>
                                    <w:r w:rsidRPr="00CB50C8">
                                      <w:rPr>
                                        <w:rFonts w:ascii="inherit" w:hAnsi="inherit"/>
                                        <w:b/>
                                        <w:bCs/>
                                        <w:color w:val="000000"/>
                                        <w:sz w:val="20"/>
                                        <w:szCs w:val="20"/>
                                      </w:rPr>
                                      <w:t>It is not necessary to do extraordinary things to get extraordinary results -- Warren Buffet</w:t>
                                    </w:r>
                                  </w:p>
                                  <w:p w14:paraId="4AA49878" w14:textId="77777777" w:rsidR="009F1A1F" w:rsidRDefault="009F1A1F">
                                    <w:pPr>
                                      <w:pStyle w:val="NormalWeb"/>
                                      <w:spacing w:before="0" w:beforeAutospacing="0" w:after="0" w:afterAutospacing="0"/>
                                      <w:jc w:val="center"/>
                                      <w:rPr>
                                        <w:rFonts w:ascii="Arial" w:hAnsi="Arial" w:cs="Arial"/>
                                        <w:color w:val="198FC8"/>
                                        <w:sz w:val="20"/>
                                        <w:szCs w:val="20"/>
                                        <w:bdr w:val="none" w:sz="0" w:space="0" w:color="auto" w:frame="1"/>
                                      </w:rPr>
                                    </w:pPr>
                                  </w:p>
                                  <w:p w14:paraId="1E257095" w14:textId="1BB3065E" w:rsidR="00CB50C8" w:rsidRDefault="00A263DA" w:rsidP="00CB50C8">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CB50C8">
                                      <w:rPr>
                                        <w:rStyle w:val="Strong"/>
                                        <w:rFonts w:ascii="Arial" w:hAnsi="Arial" w:cs="Arial"/>
                                        <w:color w:val="198FC8"/>
                                        <w:sz w:val="48"/>
                                        <w:szCs w:val="48"/>
                                      </w:rPr>
                                      <w:t>Investment Planning</w:t>
                                    </w:r>
                                    <w:r>
                                      <w:rPr>
                                        <w:rStyle w:val="Strong"/>
                                        <w:rFonts w:ascii="Arial" w:hAnsi="Arial" w:cs="Arial"/>
                                        <w:color w:val="198FC8"/>
                                        <w:sz w:val="48"/>
                                        <w:szCs w:val="48"/>
                                      </w:rPr>
                                      <w:t>, you'll learn:</w:t>
                                    </w:r>
                                  </w:p>
                                  <w:p w14:paraId="3E07F65A" w14:textId="77777777" w:rsidR="00CB50C8" w:rsidRPr="00CB50C8" w:rsidRDefault="00CB50C8" w:rsidP="00CB50C8">
                                    <w:pPr>
                                      <w:pStyle w:val="NormalWeb"/>
                                      <w:spacing w:before="0" w:beforeAutospacing="0" w:after="0" w:afterAutospacing="0"/>
                                      <w:jc w:val="center"/>
                                      <w:rPr>
                                        <w:rStyle w:val="Strong"/>
                                        <w:rFonts w:ascii="Arial" w:hAnsi="Arial" w:cs="Arial"/>
                                        <w:color w:val="198FC8"/>
                                        <w:sz w:val="20"/>
                                        <w:szCs w:val="20"/>
                                      </w:rPr>
                                    </w:pPr>
                                    <w:bookmarkStart w:id="2" w:name="_GoBack"/>
                                    <w:bookmarkEnd w:id="2"/>
                                  </w:p>
                                  <w:p w14:paraId="3540BB0A" w14:textId="77777777" w:rsidR="00CB50C8" w:rsidRDefault="00CB50C8" w:rsidP="00CB50C8">
                                    <w:pPr>
                                      <w:numPr>
                                        <w:ilvl w:val="0"/>
                                        <w:numId w:val="3"/>
                                      </w:numPr>
                                      <w:ind w:left="360"/>
                                      <w:textAlignment w:val="baseline"/>
                                      <w:rPr>
                                        <w:rFonts w:ascii="inherit" w:hAnsi="inherit"/>
                                        <w:color w:val="000000"/>
                                        <w:sz w:val="21"/>
                                        <w:szCs w:val="21"/>
                                      </w:rPr>
                                    </w:pPr>
                                    <w:r>
                                      <w:rPr>
                                        <w:rFonts w:ascii="inherit" w:hAnsi="inherit"/>
                                        <w:color w:val="000000"/>
                                        <w:sz w:val="21"/>
                                        <w:szCs w:val="21"/>
                                      </w:rPr>
                                      <w:t>Investment fundamentals, including the effects of inflation and compounding</w:t>
                                    </w:r>
                                  </w:p>
                                  <w:p w14:paraId="0F5446AE" w14:textId="77777777" w:rsidR="00CB50C8" w:rsidRDefault="00CB50C8" w:rsidP="00CB50C8">
                                    <w:pPr>
                                      <w:numPr>
                                        <w:ilvl w:val="0"/>
                                        <w:numId w:val="3"/>
                                      </w:numPr>
                                      <w:ind w:left="360"/>
                                      <w:textAlignment w:val="baseline"/>
                                      <w:rPr>
                                        <w:rFonts w:ascii="inherit" w:hAnsi="inherit"/>
                                        <w:color w:val="000000"/>
                                        <w:sz w:val="21"/>
                                        <w:szCs w:val="21"/>
                                      </w:rPr>
                                    </w:pPr>
                                    <w:r>
                                      <w:rPr>
                                        <w:rFonts w:ascii="inherit" w:hAnsi="inherit"/>
                                        <w:color w:val="000000"/>
                                        <w:sz w:val="21"/>
                                        <w:szCs w:val="21"/>
                                      </w:rPr>
                                      <w:t>How to identify financial goals and time horizons</w:t>
                                    </w:r>
                                  </w:p>
                                  <w:p w14:paraId="2F282A3C" w14:textId="77777777" w:rsidR="00CB50C8" w:rsidRDefault="00CB50C8" w:rsidP="00CB50C8">
                                    <w:pPr>
                                      <w:numPr>
                                        <w:ilvl w:val="0"/>
                                        <w:numId w:val="3"/>
                                      </w:numPr>
                                      <w:ind w:left="360"/>
                                      <w:textAlignment w:val="baseline"/>
                                      <w:rPr>
                                        <w:rFonts w:ascii="inherit" w:hAnsi="inherit"/>
                                        <w:color w:val="000000"/>
                                        <w:sz w:val="21"/>
                                        <w:szCs w:val="21"/>
                                      </w:rPr>
                                    </w:pPr>
                                    <w:r>
                                      <w:rPr>
                                        <w:rFonts w:ascii="inherit" w:hAnsi="inherit"/>
                                        <w:color w:val="000000"/>
                                        <w:sz w:val="21"/>
                                        <w:szCs w:val="21"/>
                                      </w:rPr>
                                      <w:lastRenderedPageBreak/>
                                      <w:t>How to measure your risk tolerance, and the relationship between risk and return</w:t>
                                    </w:r>
                                  </w:p>
                                  <w:p w14:paraId="1EB4C66A" w14:textId="77777777" w:rsidR="00CB50C8" w:rsidRPr="00CB50C8" w:rsidRDefault="00CB50C8" w:rsidP="00CB50C8">
                                    <w:pPr>
                                      <w:numPr>
                                        <w:ilvl w:val="0"/>
                                        <w:numId w:val="3"/>
                                      </w:numPr>
                                      <w:ind w:left="360"/>
                                      <w:textAlignment w:val="baseline"/>
                                      <w:rPr>
                                        <w:rFonts w:ascii="Arial" w:hAnsi="Arial" w:cs="Arial"/>
                                        <w:color w:val="000000"/>
                                        <w:sz w:val="20"/>
                                        <w:szCs w:val="20"/>
                                      </w:rPr>
                                    </w:pPr>
                                    <w:r>
                                      <w:rPr>
                                        <w:rFonts w:ascii="inherit" w:hAnsi="inherit"/>
                                        <w:color w:val="000000"/>
                                        <w:sz w:val="21"/>
                                        <w:szCs w:val="21"/>
                                      </w:rPr>
                                      <w:t>The difference between cash equivalents, bonds, stocks and mutual funds, and the importance of asset allocation</w:t>
                                    </w:r>
                                  </w:p>
                                  <w:p w14:paraId="7F2F07F3" w14:textId="77777777" w:rsidR="00CB50C8" w:rsidRDefault="00CB50C8" w:rsidP="00CB50C8">
                                    <w:pPr>
                                      <w:textAlignment w:val="baseline"/>
                                      <w:rPr>
                                        <w:rFonts w:ascii="Arial" w:hAnsi="Arial" w:cs="Arial"/>
                                        <w:color w:val="000000"/>
                                        <w:sz w:val="20"/>
                                        <w:szCs w:val="20"/>
                                      </w:rPr>
                                    </w:pPr>
                                  </w:p>
                                  <w:p w14:paraId="6D716951" w14:textId="182C8675" w:rsidR="00A263DA" w:rsidRDefault="00A263DA" w:rsidP="00CB50C8">
                                    <w:pPr>
                                      <w:textAlignment w:val="baseline"/>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5435D6"/>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633C1C"/>
    <w:rsid w:val="009F1A1F"/>
    <w:rsid w:val="00A263DA"/>
    <w:rsid w:val="00B064C8"/>
    <w:rsid w:val="00CB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1">
    <w:name w:val="heading 1"/>
    <w:basedOn w:val="Normal"/>
    <w:next w:val="Normal"/>
    <w:link w:val="Heading1Char"/>
    <w:uiPriority w:val="9"/>
    <w:qFormat/>
    <w:rsid w:val="00CB50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character" w:customStyle="1" w:styleId="Heading1Char">
    <w:name w:val="Heading 1 Char"/>
    <w:basedOn w:val="DefaultParagraphFont"/>
    <w:link w:val="Heading1"/>
    <w:uiPriority w:val="9"/>
    <w:rsid w:val="00CB50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210895116">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438989656">
      <w:bodyDiv w:val="1"/>
      <w:marLeft w:val="0"/>
      <w:marRight w:val="0"/>
      <w:marTop w:val="0"/>
      <w:marBottom w:val="0"/>
      <w:divBdr>
        <w:top w:val="none" w:sz="0" w:space="0" w:color="auto"/>
        <w:left w:val="none" w:sz="0" w:space="0" w:color="auto"/>
        <w:bottom w:val="none" w:sz="0" w:space="0" w:color="auto"/>
        <w:right w:val="none" w:sz="0" w:space="0" w:color="auto"/>
      </w:divBdr>
    </w:div>
    <w:div w:id="18210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C9.9EAF89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2</cp:revision>
  <dcterms:created xsi:type="dcterms:W3CDTF">2020-03-05T14:52:00Z</dcterms:created>
  <dcterms:modified xsi:type="dcterms:W3CDTF">2020-03-05T14:52:00Z</dcterms:modified>
</cp:coreProperties>
</file>