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752"/>
                                    </w:tblGrid>
                                    <w:tr w:rsidR="00A263DA" w14:paraId="7C4E13DE" w14:textId="77777777" w:rsidTr="004B17C1">
                                      <w:trPr>
                                        <w:jc w:val="center"/>
                                      </w:trPr>
                                      <w:tc>
                                        <w:tcPr>
                                          <w:tcW w:w="0" w:type="auto"/>
                                          <w:vAlign w:val="center"/>
                                          <w:hideMark/>
                                        </w:tcPr>
                                        <w:p w14:paraId="1CD153BD" w14:textId="77777777" w:rsidR="0013678F" w:rsidRDefault="0013678F" w:rsidP="004B17C1">
                                          <w:pPr>
                                            <w:jc w:val="center"/>
                                            <w:rPr>
                                              <w:rFonts w:ascii="Times New Roman" w:eastAsia="Times New Roman" w:hAnsi="Times New Roman" w:cs="Times New Roman"/>
                                              <w:b/>
                                              <w:bCs/>
                                              <w:color w:val="000000"/>
                                              <w:sz w:val="52"/>
                                              <w:szCs w:val="52"/>
                                            </w:rPr>
                                          </w:pPr>
                                          <w:r w:rsidRPr="0013678F">
                                            <w:rPr>
                                              <w:rFonts w:ascii="Times New Roman" w:eastAsia="Times New Roman" w:hAnsi="Times New Roman" w:cs="Times New Roman"/>
                                              <w:b/>
                                              <w:bCs/>
                                              <w:color w:val="000000"/>
                                              <w:sz w:val="52"/>
                                              <w:szCs w:val="52"/>
                                            </w:rPr>
                                            <w:t>Take Charge of Your</w:t>
                                          </w:r>
                                        </w:p>
                                        <w:p w14:paraId="563817C6" w14:textId="258642CB" w:rsidR="00C47BE6" w:rsidRDefault="0013678F" w:rsidP="004B17C1">
                                          <w:pPr>
                                            <w:jc w:val="center"/>
                                            <w:rPr>
                                              <w:rFonts w:ascii="Times New Roman" w:eastAsia="Times New Roman" w:hAnsi="Times New Roman" w:cs="Times New Roman"/>
                                              <w:b/>
                                              <w:bCs/>
                                              <w:color w:val="000000"/>
                                              <w:sz w:val="52"/>
                                              <w:szCs w:val="52"/>
                                            </w:rPr>
                                          </w:pPr>
                                          <w:r w:rsidRPr="0013678F">
                                            <w:rPr>
                                              <w:rFonts w:ascii="Times New Roman" w:eastAsia="Times New Roman" w:hAnsi="Times New Roman" w:cs="Times New Roman"/>
                                              <w:b/>
                                              <w:bCs/>
                                              <w:color w:val="000000"/>
                                              <w:sz w:val="52"/>
                                              <w:szCs w:val="52"/>
                                            </w:rPr>
                                            <w:t>Financial Future</w:t>
                                          </w:r>
                                        </w:p>
                                        <w:p w14:paraId="2ABD2403" w14:textId="77777777" w:rsidR="0013678F" w:rsidRPr="00C47BE6" w:rsidRDefault="0013678F" w:rsidP="004B17C1">
                                          <w:pPr>
                                            <w:jc w:val="center"/>
                                            <w:rPr>
                                              <w:rFonts w:ascii="Times New Roman" w:eastAsia="Times New Roman" w:hAnsi="Times New Roman" w:cs="Times New Roman"/>
                                              <w:b/>
                                              <w:bCs/>
                                              <w:color w:val="000000"/>
                                              <w:sz w:val="12"/>
                                              <w:szCs w:val="12"/>
                                            </w:rPr>
                                          </w:pPr>
                                        </w:p>
                                        <w:p w14:paraId="1085E926" w14:textId="3DDE7969" w:rsidR="00A263DA" w:rsidRDefault="0013678F" w:rsidP="004B17C1">
                                          <w:pPr>
                                            <w:jc w:val="center"/>
                                          </w:pPr>
                                          <w:r>
                                            <w:rPr>
                                              <w:rFonts w:ascii="inherit" w:hAnsi="inherit"/>
                                              <w:noProof/>
                                              <w:sz w:val="21"/>
                                              <w:szCs w:val="21"/>
                                            </w:rPr>
                                            <w:drawing>
                                              <wp:inline distT="0" distB="0" distL="0" distR="0" wp14:anchorId="118D0737" wp14:editId="42AB3A0A">
                                                <wp:extent cx="2404745" cy="1603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04745"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5B3456DA" w14:textId="2C92DAC0" w:rsidR="00C47BE6" w:rsidRPr="004B17C1" w:rsidRDefault="0013678F">
                                    <w:pPr>
                                      <w:pStyle w:val="NormalWeb"/>
                                      <w:spacing w:before="0" w:beforeAutospacing="0" w:after="0" w:afterAutospacing="0"/>
                                      <w:jc w:val="center"/>
                                      <w:rPr>
                                        <w:rFonts w:ascii="Arial" w:hAnsi="Arial" w:cs="Arial"/>
                                        <w:color w:val="198FC8"/>
                                        <w:sz w:val="6"/>
                                        <w:szCs w:val="6"/>
                                        <w:bdr w:val="none" w:sz="0" w:space="0" w:color="auto" w:frame="1"/>
                                      </w:rPr>
                                    </w:pPr>
                                    <w:r>
                                      <w:rPr>
                                        <w:rFonts w:ascii="inherit" w:hAnsi="inherit"/>
                                        <w:b/>
                                        <w:bCs/>
                                        <w:i/>
                                        <w:iCs/>
                                        <w:color w:val="198FC8"/>
                                        <w:sz w:val="21"/>
                                        <w:szCs w:val="21"/>
                                        <w:bdr w:val="none" w:sz="0" w:space="0" w:color="auto" w:frame="1"/>
                                      </w:rPr>
                                      <w:t>Today, more women than ever are responsible for their financial well-being, and the well-being of their families. But women often face unique financial challenges. That's why it's so important that no matter what life stage they're in, women know how to save, invest, and plan for their future.</w:t>
                                    </w:r>
                                  </w:p>
                                  <w:p w14:paraId="759A92A0" w14:textId="7C2B57F1"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13678F">
                                      <w:rPr>
                                        <w:rStyle w:val="Strong"/>
                                        <w:rFonts w:ascii="Arial" w:hAnsi="Arial" w:cs="Arial"/>
                                        <w:color w:val="198FC8"/>
                                        <w:sz w:val="48"/>
                                        <w:szCs w:val="48"/>
                                      </w:rPr>
                                      <w:t xml:space="preserve">Women and Money </w:t>
                                    </w:r>
                                    <w:r>
                                      <w:rPr>
                                        <w:rStyle w:val="Strong"/>
                                        <w:rFonts w:ascii="Arial" w:hAnsi="Arial" w:cs="Arial"/>
                                        <w:color w:val="198FC8"/>
                                        <w:sz w:val="48"/>
                                        <w:szCs w:val="48"/>
                                      </w:rPr>
                                      <w:t>you'll learn:</w:t>
                                    </w:r>
                                  </w:p>
                                  <w:p w14:paraId="781621F0" w14:textId="77777777" w:rsidR="00C47BE6" w:rsidRDefault="00C47BE6">
                                    <w:pPr>
                                      <w:pStyle w:val="Heading2"/>
                                      <w:spacing w:before="150" w:beforeAutospacing="0" w:after="0" w:afterAutospacing="0"/>
                                      <w:rPr>
                                        <w:rFonts w:ascii="Arial" w:hAnsi="Arial" w:cs="Arial"/>
                                        <w:color w:val="000000"/>
                                        <w:sz w:val="20"/>
                                        <w:szCs w:val="20"/>
                                      </w:rPr>
                                    </w:pPr>
                                  </w:p>
                                  <w:p w14:paraId="35AD78BF" w14:textId="77777777" w:rsidR="0013678F" w:rsidRPr="0013678F" w:rsidRDefault="0013678F" w:rsidP="0013678F">
                                    <w:pPr>
                                      <w:pStyle w:val="ListParagraph"/>
                                      <w:numPr>
                                        <w:ilvl w:val="0"/>
                                        <w:numId w:val="9"/>
                                      </w:numPr>
                                      <w:textAlignment w:val="baseline"/>
                                      <w:rPr>
                                        <w:rFonts w:ascii="inherit" w:hAnsi="inherit"/>
                                        <w:color w:val="000000"/>
                                        <w:sz w:val="21"/>
                                        <w:szCs w:val="21"/>
                                      </w:rPr>
                                    </w:pPr>
                                    <w:r w:rsidRPr="0013678F">
                                      <w:rPr>
                                        <w:rFonts w:ascii="inherit" w:hAnsi="inherit"/>
                                        <w:color w:val="000000"/>
                                        <w:sz w:val="21"/>
                                        <w:szCs w:val="21"/>
                                      </w:rPr>
                                      <w:t>The unique financial challenges women face, such as longer life expectancies and more career breaks for caregiving, and how they impact long-term financial security</w:t>
                                    </w:r>
                                  </w:p>
                                  <w:p w14:paraId="5AFE0FCD" w14:textId="77777777" w:rsidR="0013678F" w:rsidRPr="0013678F" w:rsidRDefault="0013678F" w:rsidP="0013678F">
                                    <w:pPr>
                                      <w:pStyle w:val="ListParagraph"/>
                                      <w:numPr>
                                        <w:ilvl w:val="0"/>
                                        <w:numId w:val="9"/>
                                      </w:numPr>
                                      <w:textAlignment w:val="baseline"/>
                                      <w:rPr>
                                        <w:rFonts w:ascii="inherit" w:hAnsi="inherit"/>
                                        <w:color w:val="000000"/>
                                        <w:sz w:val="21"/>
                                        <w:szCs w:val="21"/>
                                      </w:rPr>
                                    </w:pPr>
                                    <w:r w:rsidRPr="0013678F">
                                      <w:rPr>
                                        <w:rFonts w:ascii="inherit" w:hAnsi="inherit"/>
                                        <w:color w:val="000000"/>
                                        <w:sz w:val="21"/>
                                        <w:szCs w:val="21"/>
                                      </w:rPr>
                                      <w:t xml:space="preserve">Six steps women can take to help them achieve financial security, including taking control of their money, becoming more knowledgeable investors, advocating for themselves in the </w:t>
                                    </w:r>
                                    <w:r w:rsidRPr="0013678F">
                                      <w:rPr>
                                        <w:rFonts w:ascii="inherit" w:hAnsi="inherit"/>
                                        <w:color w:val="000000"/>
                                        <w:sz w:val="21"/>
                                        <w:szCs w:val="21"/>
                                      </w:rPr>
                                      <w:lastRenderedPageBreak/>
                                      <w:t>workplace, planning for retirement, protecting their income and assets, and creating an estate plan</w:t>
                                    </w:r>
                                  </w:p>
                                  <w:p w14:paraId="6D716951" w14:textId="6526B886" w:rsidR="00A263DA" w:rsidRDefault="00A263DA">
                                    <w:pPr>
                                      <w:pStyle w:val="Heading2"/>
                                      <w:spacing w:before="150" w:beforeAutospacing="0" w:after="0" w:afterAutospacing="0"/>
                                      <w:rPr>
                                        <w:rFonts w:ascii="Arial" w:hAnsi="Arial" w:cs="Arial"/>
                                        <w:color w:val="000000"/>
                                        <w:sz w:val="20"/>
                                        <w:szCs w:val="20"/>
                                      </w:rPr>
                                    </w:pPr>
                                    <w:bookmarkStart w:id="2" w:name="_GoBack"/>
                                    <w:bookmarkEnd w:id="2"/>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3E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84FA5"/>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72BDA"/>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217508"/>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B02713"/>
    <w:multiLevelType w:val="hybridMultilevel"/>
    <w:tmpl w:val="8D78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F2CCD"/>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8"/>
  </w:num>
  <w:num w:numId="5">
    <w:abstractNumId w:val="3"/>
  </w:num>
  <w:num w:numId="6">
    <w:abstractNumId w:val="1"/>
  </w:num>
  <w:num w:numId="7">
    <w:abstractNumId w:val="6"/>
  </w:num>
  <w:num w:numId="8">
    <w:abstractNumId w:val="0"/>
    <w:lvlOverride w:ilvl="0"/>
    <w:lvlOverride w:ilvl="1"/>
    <w:lvlOverride w:ilvl="2"/>
    <w:lvlOverride w:ilvl="3"/>
    <w:lvlOverride w:ilvl="4"/>
    <w:lvlOverride w:ilvl="5"/>
    <w:lvlOverride w:ilvl="6"/>
    <w:lvlOverride w:ilvl="7"/>
    <w:lvlOverride w:ilv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13678F"/>
    <w:rsid w:val="0049780B"/>
    <w:rsid w:val="004B17C1"/>
    <w:rsid w:val="00633C1C"/>
    <w:rsid w:val="009F1A1F"/>
    <w:rsid w:val="00A263DA"/>
    <w:rsid w:val="00A664F3"/>
    <w:rsid w:val="00B064C8"/>
    <w:rsid w:val="00C47BE6"/>
    <w:rsid w:val="00CA7F4E"/>
    <w:rsid w:val="00E9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paragraph" w:styleId="ListParagraph">
    <w:name w:val="List Paragraph"/>
    <w:basedOn w:val="Normal"/>
    <w:uiPriority w:val="34"/>
    <w:qFormat/>
    <w:rsid w:val="00136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289172355">
      <w:bodyDiv w:val="1"/>
      <w:marLeft w:val="0"/>
      <w:marRight w:val="0"/>
      <w:marTop w:val="0"/>
      <w:marBottom w:val="0"/>
      <w:divBdr>
        <w:top w:val="none" w:sz="0" w:space="0" w:color="auto"/>
        <w:left w:val="none" w:sz="0" w:space="0" w:color="auto"/>
        <w:bottom w:val="none" w:sz="0" w:space="0" w:color="auto"/>
        <w:right w:val="none" w:sz="0" w:space="0" w:color="auto"/>
      </w:divBdr>
    </w:div>
    <w:div w:id="515769264">
      <w:bodyDiv w:val="1"/>
      <w:marLeft w:val="0"/>
      <w:marRight w:val="0"/>
      <w:marTop w:val="0"/>
      <w:marBottom w:val="0"/>
      <w:divBdr>
        <w:top w:val="none" w:sz="0" w:space="0" w:color="auto"/>
        <w:left w:val="none" w:sz="0" w:space="0" w:color="auto"/>
        <w:bottom w:val="none" w:sz="0" w:space="0" w:color="auto"/>
        <w:right w:val="none" w:sz="0" w:space="0" w:color="auto"/>
      </w:divBdr>
    </w:div>
    <w:div w:id="791090613">
      <w:bodyDiv w:val="1"/>
      <w:marLeft w:val="0"/>
      <w:marRight w:val="0"/>
      <w:marTop w:val="0"/>
      <w:marBottom w:val="0"/>
      <w:divBdr>
        <w:top w:val="none" w:sz="0" w:space="0" w:color="auto"/>
        <w:left w:val="none" w:sz="0" w:space="0" w:color="auto"/>
        <w:bottom w:val="none" w:sz="0" w:space="0" w:color="auto"/>
        <w:right w:val="none" w:sz="0" w:space="0" w:color="auto"/>
      </w:divBdr>
    </w:div>
    <w:div w:id="955403400">
      <w:bodyDiv w:val="1"/>
      <w:marLeft w:val="0"/>
      <w:marRight w:val="0"/>
      <w:marTop w:val="0"/>
      <w:marBottom w:val="0"/>
      <w:divBdr>
        <w:top w:val="none" w:sz="0" w:space="0" w:color="auto"/>
        <w:left w:val="none" w:sz="0" w:space="0" w:color="auto"/>
        <w:bottom w:val="none" w:sz="0" w:space="0" w:color="auto"/>
        <w:right w:val="none" w:sz="0" w:space="0" w:color="auto"/>
      </w:divBdr>
    </w:div>
    <w:div w:id="125351642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E.42EDA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2020-03-05T17:19:00Z</dcterms:created>
  <dcterms:modified xsi:type="dcterms:W3CDTF">2020-03-05T17:19:00Z</dcterms:modified>
</cp:coreProperties>
</file>